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BB9E" w14:textId="77777777" w:rsidR="00735B78" w:rsidRDefault="00C36AD7">
      <w:pPr>
        <w:rPr>
          <w:rFonts w:cs="Times New Roman"/>
          <w:lang w:val="sr-Cyrl-CS"/>
        </w:rPr>
      </w:pPr>
      <w:bookmarkStart w:id="0" w:name="_GoBack"/>
      <w:bookmarkEnd w:id="0"/>
      <w:r>
        <w:rPr>
          <w:rFonts w:cs="Times New Roman"/>
          <w:lang w:val="sr-Latn-CS"/>
        </w:rPr>
        <w:t>КЈП „Морава“</w:t>
      </w:r>
      <w:r>
        <w:rPr>
          <w:rFonts w:cs="Times New Roman"/>
          <w:lang w:val="sr-Cyrl-CS"/>
        </w:rPr>
        <w:t xml:space="preserve"> Свилајнац</w:t>
      </w:r>
    </w:p>
    <w:p w14:paraId="21297721" w14:textId="77777777" w:rsidR="00735B78" w:rsidRDefault="00C36AD7">
      <w:pPr>
        <w:rPr>
          <w:rFonts w:cs="Times New Roman"/>
        </w:rPr>
      </w:pPr>
      <w:r>
        <w:rPr>
          <w:rFonts w:cs="Times New Roman"/>
          <w:lang w:val="sr-Latn-CS"/>
        </w:rPr>
        <w:t>02 број 2208/3-24</w:t>
      </w:r>
    </w:p>
    <w:p w14:paraId="455675BC" w14:textId="77777777" w:rsidR="00735B78" w:rsidRDefault="00C36AD7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Дана:  </w:t>
      </w:r>
      <w:r>
        <w:rPr>
          <w:rFonts w:cs="Times New Roman"/>
        </w:rPr>
        <w:t>2</w:t>
      </w:r>
      <w:r>
        <w:rPr>
          <w:rFonts w:cs="Times New Roman"/>
          <w:lang w:val="sr-Cyrl-RS"/>
        </w:rPr>
        <w:t>4</w:t>
      </w:r>
      <w:r>
        <w:rPr>
          <w:rFonts w:cs="Times New Roman"/>
          <w:lang w:val="sr-Latn-CS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lang w:val="sr-Cyrl-RS"/>
        </w:rPr>
        <w:t>6</w:t>
      </w:r>
      <w:r>
        <w:rPr>
          <w:rFonts w:cs="Times New Roman"/>
          <w:lang w:val="sr-Latn-CS"/>
        </w:rPr>
        <w:t>.</w:t>
      </w:r>
      <w:r>
        <w:rPr>
          <w:rFonts w:cs="Times New Roman"/>
          <w:lang w:val="sr-Cyrl-CS"/>
        </w:rPr>
        <w:t xml:space="preserve"> </w:t>
      </w:r>
      <w:r>
        <w:rPr>
          <w:rFonts w:cs="Times New Roman"/>
          <w:lang w:val="sr-Latn-CS"/>
        </w:rPr>
        <w:t>202</w:t>
      </w:r>
      <w:r>
        <w:rPr>
          <w:rFonts w:cs="Times New Roman"/>
          <w:lang w:val="sr-Cyrl-RS"/>
        </w:rPr>
        <w:t>4</w:t>
      </w:r>
      <w:r>
        <w:rPr>
          <w:rFonts w:cs="Times New Roman"/>
          <w:lang w:val="sr-Latn-CS"/>
        </w:rPr>
        <w:t>. г.</w:t>
      </w:r>
    </w:p>
    <w:p w14:paraId="555E01BE" w14:textId="77777777" w:rsidR="00735B78" w:rsidRDefault="00C36AD7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С в и л а ј н а ц</w:t>
      </w:r>
    </w:p>
    <w:p w14:paraId="4709676B" w14:textId="77777777" w:rsidR="00735B78" w:rsidRDefault="00735B78">
      <w:pPr>
        <w:rPr>
          <w:rFonts w:cs="Times New Roman"/>
          <w:lang w:val="sr-Latn-CS"/>
        </w:rPr>
      </w:pPr>
    </w:p>
    <w:p w14:paraId="5D019CF3" w14:textId="77777777" w:rsidR="00735B78" w:rsidRDefault="00C36AD7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ab/>
      </w:r>
    </w:p>
    <w:p w14:paraId="651CD9F0" w14:textId="77777777" w:rsidR="00735B78" w:rsidRDefault="00C36AD7">
      <w:pPr>
        <w:ind w:firstLine="720"/>
        <w:jc w:val="both"/>
      </w:pP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чл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lang w:val="sr-Cyrl-CS"/>
        </w:rPr>
        <w:t>24. Одлуке о усклађивању пословања  КЈП „Морава“ Свилајнац</w:t>
      </w:r>
      <w:r>
        <w:rPr>
          <w:rFonts w:cs="Times New Roman"/>
          <w:lang w:val="sr-Latn-CS"/>
        </w:rPr>
        <w:t xml:space="preserve"> </w:t>
      </w:r>
      <w:r>
        <w:rPr>
          <w:rFonts w:cs="Times New Roman"/>
          <w:lang w:val="sr-Cyrl-CS"/>
        </w:rPr>
        <w:t>са Законом о јавним предузећима („Службени гласник опшштине Свилајнац“, бр. 18/16</w:t>
      </w:r>
      <w:r>
        <w:rPr>
          <w:rFonts w:cs="Times New Roman"/>
        </w:rPr>
        <w:t>, 16/18,  21/19</w:t>
      </w:r>
      <w:r>
        <w:rPr>
          <w:rFonts w:cs="Times New Roman"/>
          <w:lang w:val="sr-Cyrl-CS"/>
        </w:rPr>
        <w:t xml:space="preserve"> </w:t>
      </w:r>
      <w:r>
        <w:rPr>
          <w:rFonts w:cs="Times New Roman"/>
        </w:rPr>
        <w:t xml:space="preserve"> и  29/20),  </w:t>
      </w:r>
      <w:r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RS"/>
        </w:rPr>
        <w:t>ч</w:t>
      </w:r>
      <w:r>
        <w:rPr>
          <w:lang w:val="sr-Cyrl-CS"/>
        </w:rPr>
        <w:t xml:space="preserve">л. 7, став 3 </w:t>
      </w:r>
      <w:proofErr w:type="spellStart"/>
      <w:r>
        <w:t>Одлук</w:t>
      </w:r>
      <w:proofErr w:type="spellEnd"/>
      <w:r>
        <w:rPr>
          <w:lang w:val="sr-Cyrl-RS"/>
        </w:rPr>
        <w:t>е</w:t>
      </w:r>
      <w:r>
        <w:t xml:space="preserve"> о </w:t>
      </w:r>
      <w:proofErr w:type="spellStart"/>
      <w:r>
        <w:t>управљању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паркиралиштима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Свилајнац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Свилајнац</w:t>
      </w:r>
      <w:proofErr w:type="spellEnd"/>
      <w:r>
        <w:t>“, бр.29/20)</w:t>
      </w:r>
      <w:r>
        <w:rPr>
          <w:lang w:val="sr-Cyrl-RS"/>
        </w:rPr>
        <w:t xml:space="preserve"> и</w:t>
      </w:r>
      <w:r>
        <w:t xml:space="preserve"> </w:t>
      </w:r>
      <w:r>
        <w:rPr>
          <w:rFonts w:cs="Times New Roman"/>
          <w:lang w:val="sr-Cyrl-CS"/>
        </w:rPr>
        <w:t>чл. 49. Статута КЈП „Морава“ Свилајнац,</w:t>
      </w:r>
      <w:r>
        <w:rPr>
          <w:rFonts w:cs="Times New Roman"/>
          <w:lang w:val="sr-Latn-CS"/>
        </w:rPr>
        <w:t xml:space="preserve"> </w:t>
      </w:r>
      <w:r>
        <w:rPr>
          <w:rFonts w:cs="Times New Roman"/>
          <w:lang w:val="sr-Cyrl-CS"/>
        </w:rPr>
        <w:t>на 46.</w:t>
      </w:r>
      <w:r>
        <w:rPr>
          <w:rFonts w:cs="Times New Roman"/>
          <w:lang w:val="sr-Latn-CS"/>
        </w:rPr>
        <w:t xml:space="preserve"> </w:t>
      </w:r>
      <w:r>
        <w:rPr>
          <w:rFonts w:cs="Times New Roman"/>
          <w:lang w:val="sr-Cyrl-CS"/>
        </w:rPr>
        <w:t>седници Надзорног</w:t>
      </w:r>
      <w:r>
        <w:rPr>
          <w:rFonts w:cs="Times New Roman"/>
          <w:lang w:val="sr-Latn-CS"/>
        </w:rPr>
        <w:t xml:space="preserve"> одбор</w:t>
      </w:r>
      <w:r>
        <w:rPr>
          <w:rFonts w:cs="Times New Roman"/>
          <w:lang w:val="sr-Cyrl-CS"/>
        </w:rPr>
        <w:t>а</w:t>
      </w:r>
      <w:r>
        <w:rPr>
          <w:rFonts w:cs="Times New Roman"/>
          <w:lang w:val="sr-Latn-CS"/>
        </w:rPr>
        <w:t xml:space="preserve"> </w:t>
      </w:r>
      <w:r>
        <w:rPr>
          <w:rFonts w:cs="Times New Roman"/>
          <w:lang w:val="sr-Cyrl-CS"/>
        </w:rPr>
        <w:t>КЈП „Морава“ Свилајнац</w:t>
      </w:r>
      <w:r>
        <w:rPr>
          <w:rFonts w:cs="Times New Roman"/>
          <w:lang w:val="sr-Latn-CS"/>
        </w:rPr>
        <w:t xml:space="preserve"> </w:t>
      </w:r>
      <w:r>
        <w:rPr>
          <w:rFonts w:cs="Times New Roman"/>
          <w:lang w:val="sr-Cyrl-CS"/>
        </w:rPr>
        <w:t>о</w:t>
      </w:r>
      <w:r>
        <w:rPr>
          <w:rFonts w:cs="Times New Roman"/>
          <w:lang w:val="sr-Latn-CS"/>
        </w:rPr>
        <w:t>држаној</w:t>
      </w:r>
      <w:r>
        <w:rPr>
          <w:rFonts w:cs="Times New Roman"/>
          <w:lang w:val="sr-Latn-CS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lang w:val="sr-Cyrl-RS"/>
        </w:rPr>
        <w:t>4</w:t>
      </w:r>
      <w:r>
        <w:rPr>
          <w:rFonts w:cs="Times New Roman"/>
        </w:rPr>
        <w:t>.</w:t>
      </w:r>
      <w:r>
        <w:rPr>
          <w:rFonts w:cs="Times New Roman"/>
          <w:lang w:val="sr-Cyrl-CS"/>
        </w:rPr>
        <w:t xml:space="preserve"> 6</w:t>
      </w:r>
      <w:r>
        <w:rPr>
          <w:rFonts w:cs="Times New Roman"/>
        </w:rPr>
        <w:t xml:space="preserve">. </w:t>
      </w:r>
      <w:r>
        <w:rPr>
          <w:rFonts w:cs="Times New Roman"/>
          <w:lang w:val="sr-Latn-CS"/>
        </w:rPr>
        <w:t xml:space="preserve"> 20</w:t>
      </w:r>
      <w:r>
        <w:rPr>
          <w:rFonts w:cs="Times New Roman"/>
        </w:rPr>
        <w:t>2</w:t>
      </w:r>
      <w:r>
        <w:rPr>
          <w:rFonts w:cs="Times New Roman"/>
          <w:lang w:val="sr-Cyrl-RS"/>
        </w:rPr>
        <w:t>4</w:t>
      </w:r>
      <w:r>
        <w:rPr>
          <w:rFonts w:cs="Times New Roman"/>
          <w:lang w:val="sr-Latn-CS"/>
        </w:rPr>
        <w:t>. г.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телефонским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путем</w:t>
      </w:r>
      <w:proofErr w:type="spellEnd"/>
      <w:r>
        <w:rPr>
          <w:rFonts w:cs="Times New Roman"/>
          <w:lang w:val="sr-Latn-CS"/>
        </w:rPr>
        <w:t>, доне</w:t>
      </w:r>
      <w:r>
        <w:rPr>
          <w:rFonts w:cs="Times New Roman"/>
          <w:lang w:val="sr-Cyrl-CS"/>
        </w:rPr>
        <w:t>та је</w:t>
      </w:r>
    </w:p>
    <w:p w14:paraId="6B0B500E" w14:textId="77777777" w:rsidR="00735B78" w:rsidRDefault="00735B78">
      <w:pPr>
        <w:spacing w:line="276" w:lineRule="auto"/>
        <w:jc w:val="center"/>
        <w:rPr>
          <w:rFonts w:eastAsia="Times New Roman" w:cs="Times New Roman"/>
          <w:bCs/>
        </w:rPr>
      </w:pPr>
    </w:p>
    <w:p w14:paraId="3ED3A6E0" w14:textId="77777777" w:rsidR="00735B78" w:rsidRDefault="00735B78">
      <w:pPr>
        <w:spacing w:line="276" w:lineRule="auto"/>
        <w:jc w:val="center"/>
        <w:rPr>
          <w:rFonts w:eastAsia="Times New Roman" w:cs="Times New Roman"/>
          <w:bCs/>
        </w:rPr>
      </w:pPr>
    </w:p>
    <w:p w14:paraId="2E90B19F" w14:textId="77777777" w:rsidR="00735B78" w:rsidRDefault="00735B78">
      <w:pPr>
        <w:spacing w:line="276" w:lineRule="auto"/>
        <w:jc w:val="center"/>
        <w:rPr>
          <w:rFonts w:eastAsia="Times New Roman" w:cs="Times New Roman"/>
          <w:bCs/>
        </w:rPr>
      </w:pPr>
    </w:p>
    <w:p w14:paraId="3343207F" w14:textId="77777777" w:rsidR="00735B78" w:rsidRDefault="00C36AD7">
      <w:pPr>
        <w:spacing w:line="276" w:lineRule="auto"/>
        <w:jc w:val="center"/>
        <w:rPr>
          <w:rFonts w:eastAsia="Times New Roman" w:cs="Times New Roman"/>
          <w:bCs/>
          <w:lang w:val="sr-Cyrl-CS"/>
        </w:rPr>
      </w:pPr>
      <w:r>
        <w:rPr>
          <w:rFonts w:eastAsia="Times New Roman" w:cs="Times New Roman"/>
          <w:bCs/>
        </w:rPr>
        <w:t xml:space="preserve">О Д Л У К </w:t>
      </w:r>
      <w:r>
        <w:rPr>
          <w:rFonts w:eastAsia="Times New Roman" w:cs="Times New Roman"/>
          <w:bCs/>
          <w:lang w:val="sr-Cyrl-CS"/>
        </w:rPr>
        <w:t>А</w:t>
      </w:r>
    </w:p>
    <w:p w14:paraId="47D18924" w14:textId="77777777" w:rsidR="00735B78" w:rsidRDefault="00735B78">
      <w:pPr>
        <w:spacing w:line="276" w:lineRule="auto"/>
        <w:jc w:val="center"/>
        <w:rPr>
          <w:rFonts w:eastAsia="Times New Roman" w:cs="Times New Roman"/>
          <w:bCs/>
          <w:lang w:val="sr-Cyrl-CS"/>
        </w:rPr>
      </w:pPr>
    </w:p>
    <w:p w14:paraId="39DF4A79" w14:textId="77777777" w:rsidR="00735B78" w:rsidRDefault="00C36AD7">
      <w:pPr>
        <w:pStyle w:val="ListParagraph"/>
        <w:numPr>
          <w:ilvl w:val="0"/>
          <w:numId w:val="1"/>
        </w:numPr>
        <w:tabs>
          <w:tab w:val="left" w:pos="0"/>
        </w:tabs>
        <w:ind w:left="0" w:firstLine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УТВРЂУЈУ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цене комуналних услуга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паркиралиштима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зонираном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>
        <w:rPr>
          <w:rFonts w:ascii="Times New Roman" w:hAnsi="Times New Roman" w:cs="Times New Roman"/>
          <w:sz w:val="24"/>
          <w:szCs w:val="24"/>
        </w:rPr>
        <w:t>,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76E23E0" w14:textId="77777777" w:rsidR="00735B78" w:rsidRDefault="00735B78">
      <w:pPr>
        <w:pStyle w:val="ListParagraph"/>
        <w:tabs>
          <w:tab w:val="left" w:pos="0"/>
        </w:tabs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14:paraId="641AAB03" w14:textId="77777777" w:rsidR="00735B78" w:rsidRDefault="00C36AD7">
      <w:pPr>
        <w:jc w:val="both"/>
        <w:rPr>
          <w:b/>
          <w:bCs/>
        </w:rPr>
      </w:pPr>
      <w:proofErr w:type="spellStart"/>
      <w:r>
        <w:rPr>
          <w:b/>
          <w:bCs/>
        </w:rPr>
        <w:t>Сатна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дневна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паркинг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карта</w:t>
      </w:r>
      <w:proofErr w:type="spellEnd"/>
    </w:p>
    <w:p w14:paraId="6035F666" w14:textId="77777777" w:rsidR="00735B78" w:rsidRDefault="00735B78">
      <w:pPr>
        <w:ind w:firstLine="54"/>
        <w:jc w:val="both"/>
        <w:rPr>
          <w:b/>
          <w:bCs/>
        </w:rPr>
      </w:pPr>
    </w:p>
    <w:tbl>
      <w:tblPr>
        <w:tblW w:w="10676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08"/>
        <w:gridCol w:w="3588"/>
        <w:gridCol w:w="1125"/>
        <w:gridCol w:w="1080"/>
        <w:gridCol w:w="720"/>
        <w:gridCol w:w="855"/>
        <w:gridCol w:w="1364"/>
        <w:gridCol w:w="1336"/>
      </w:tblGrid>
      <w:tr w:rsidR="00735B78" w14:paraId="0F661911" w14:textId="77777777">
        <w:trPr>
          <w:trHeight w:val="375"/>
        </w:trPr>
        <w:tc>
          <w:tcPr>
            <w:tcW w:w="10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40FEF" w14:textId="77777777" w:rsidR="00735B78" w:rsidRDefault="00C36AD7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SimSun" w:hAnsi="Calibri" w:cs="Calibri"/>
                <w:b/>
                <w:bCs/>
                <w:lang w:eastAsia="zh-CN" w:bidi="ar"/>
              </w:rPr>
              <w:t>САТНА И ДНЕВН</w:t>
            </w:r>
            <w:r>
              <w:rPr>
                <w:rFonts w:ascii="Calibri" w:eastAsia="SimSun" w:hAnsi="Calibri" w:cs="Calibri"/>
                <w:b/>
                <w:bCs/>
                <w:lang w:val="sr-Latn-RS" w:eastAsia="zh-CN" w:bidi="ar"/>
              </w:rPr>
              <w:t xml:space="preserve">A </w:t>
            </w:r>
            <w:r>
              <w:rPr>
                <w:rFonts w:ascii="Calibri" w:eastAsia="SimSun" w:hAnsi="Calibri" w:cs="Calibri"/>
                <w:b/>
                <w:bCs/>
                <w:lang w:eastAsia="zh-CN" w:bidi="ar"/>
              </w:rPr>
              <w:t xml:space="preserve">ПАРКИНГ КАРТА </w:t>
            </w:r>
          </w:p>
        </w:tc>
      </w:tr>
      <w:tr w:rsidR="00735B78" w14:paraId="6A4EBF3E" w14:textId="77777777">
        <w:trPr>
          <w:trHeight w:val="405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1CCE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р.б</w:t>
            </w:r>
            <w:proofErr w:type="spellEnd"/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.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6FF5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ОПИС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04E5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ЦЕНА УСЛУГЕ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78EE6D2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НОВА ЦЕНА УСЛУГА 2024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D116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ПДВ - 20%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FCF6BD3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ПДВ - 20% НОВ 2024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59C4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 xml:space="preserve">ЦЕНА СА ПОРЕЗОМ 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BA397D9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ЦЕНА СА ПОРЕЗОМ НОВА 2024</w:t>
            </w:r>
          </w:p>
        </w:tc>
      </w:tr>
      <w:tr w:rsidR="00735B78" w14:paraId="6A2ACC7A" w14:textId="77777777">
        <w:trPr>
          <w:trHeight w:val="312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669F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8B7D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1464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EAB9239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C0D9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562A9FD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7775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0E21663" w14:textId="77777777" w:rsidR="00735B78" w:rsidRDefault="00735B7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735B78" w14:paraId="39655C4F" w14:textId="77777777">
        <w:trPr>
          <w:trHeight w:val="515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353A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20C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ЗОНА 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 (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Плава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D69F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29,17 РСД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D4D99B2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37,50 РСД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B6DB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5,83 РСД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507D30D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7,50 РСД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5B1E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35,00 РСД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3BBCF009" w14:textId="77777777" w:rsidR="00735B78" w:rsidRDefault="00C36A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 w:bidi="ar"/>
              </w:rPr>
              <w:t>45,00 РСД</w:t>
            </w:r>
          </w:p>
        </w:tc>
      </w:tr>
      <w:tr w:rsidR="00735B78" w14:paraId="47C78BAD" w14:textId="77777777">
        <w:trPr>
          <w:trHeight w:val="53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9356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9ACC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Један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сат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паркирања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путничког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возила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до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осам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седишта</w:t>
            </w:r>
            <w:proofErr w:type="spellEnd"/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4BCA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F47C902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92AC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B18FDDF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A8AE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14D5ACFC" w14:textId="77777777" w:rsidR="00735B78" w:rsidRDefault="00735B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5B78" w14:paraId="6096590D" w14:textId="77777777">
        <w:trPr>
          <w:trHeight w:val="100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D036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6605" w14:textId="77777777" w:rsidR="00735B78" w:rsidRDefault="00C36AD7">
            <w:pPr>
              <w:widowControl/>
              <w:jc w:val="center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nt51"/>
                <w:rFonts w:eastAsia="SimSun"/>
                <w:sz w:val="22"/>
                <w:szCs w:val="22"/>
                <w:lang w:eastAsia="zh-CN" w:bidi="ar"/>
              </w:rPr>
              <w:t xml:space="preserve">-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Паркинг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карта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за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започети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сат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паркирања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(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куповина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сатне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карте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у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продајној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мрежи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или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електронским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путем</w:t>
            </w:r>
            <w:proofErr w:type="spellEnd"/>
            <w:r>
              <w:rPr>
                <w:rStyle w:val="font71"/>
                <w:rFonts w:eastAsia="SimSun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AA00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B365607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B086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8637B4A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5D77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06F7AFD8" w14:textId="77777777" w:rsidR="00735B78" w:rsidRDefault="00735B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5B78" w14:paraId="7EB5D5E0" w14:textId="77777777">
        <w:trPr>
          <w:trHeight w:val="50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9DDE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6F0A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ЗОНА 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(</w:t>
            </w:r>
            <w:proofErr w:type="spellStart"/>
            <w:proofErr w:type="gram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Плава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DE1A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116,67 РСД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5F1E5B1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129,17 РСД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746F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23,33 РСД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635BF6B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25,83 РСД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6FE6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140,00 РСД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733F6906" w14:textId="77777777" w:rsidR="00735B78" w:rsidRDefault="00C36A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 w:bidi="ar"/>
              </w:rPr>
              <w:t>155,00 РСД</w:t>
            </w:r>
          </w:p>
        </w:tc>
      </w:tr>
      <w:tr w:rsidR="00735B78" w14:paraId="1C6827B1" w14:textId="77777777">
        <w:trPr>
          <w:trHeight w:val="61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B0AF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07DE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Вишесатно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паркинрање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путничког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возила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до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осам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седишта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E910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E8DCCD6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762C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A020A6B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4969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1D30A5E8" w14:textId="77777777" w:rsidR="00735B78" w:rsidRDefault="00735B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5B78" w14:paraId="69060F56" w14:textId="77777777">
        <w:trPr>
          <w:trHeight w:val="1350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51E6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1D7D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Вишесатна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паркинг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карта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важи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од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времена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почетка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коришћења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првог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сата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до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краја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радног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времена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паркирања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(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Куповина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вишесатне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карте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у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продајној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мрежи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или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електронским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путем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EAE4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E9B13C6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584C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2B7BE9E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70C5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5AC68C7F" w14:textId="77777777" w:rsidR="00735B78" w:rsidRDefault="00735B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5B78" w14:paraId="4DC57ABD" w14:textId="77777777">
        <w:trPr>
          <w:trHeight w:val="500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ED28" w14:textId="77777777" w:rsidR="00735B78" w:rsidRDefault="00C36A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EA79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ЗОНА 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proofErr w:type="gramStart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(</w:t>
            </w:r>
            <w:proofErr w:type="spellStart"/>
            <w:proofErr w:type="gram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Плава</w:t>
            </w:r>
            <w:proofErr w:type="spellEnd"/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C429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437,50 РСД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A4B1940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666,66 РСД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6FA4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87,50 РСД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A78749B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133,33 РСД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F181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SimSun" w:cs="Times New Roman"/>
                <w:b/>
                <w:bCs/>
                <w:sz w:val="22"/>
                <w:szCs w:val="22"/>
                <w:lang w:eastAsia="zh-CN" w:bidi="ar"/>
              </w:rPr>
              <w:t>525,00 РСД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30C167EE" w14:textId="77777777" w:rsidR="00735B78" w:rsidRDefault="00C36A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 w:bidi="ar"/>
              </w:rPr>
              <w:t>800,00 РСД</w:t>
            </w:r>
          </w:p>
        </w:tc>
      </w:tr>
      <w:tr w:rsidR="00735B78" w14:paraId="7F1351B4" w14:textId="77777777">
        <w:trPr>
          <w:trHeight w:val="315"/>
        </w:trPr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16FA" w14:textId="77777777" w:rsidR="00735B78" w:rsidRDefault="00735B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9F1E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Дневна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паркинг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карта</w:t>
            </w:r>
            <w:proofErr w:type="spellEnd"/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5A46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B68E725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8016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673D9245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28CD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noWrap/>
            <w:vAlign w:val="center"/>
          </w:tcPr>
          <w:p w14:paraId="711DE978" w14:textId="77777777" w:rsidR="00735B78" w:rsidRDefault="00735B7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45C25D5" w14:textId="77777777" w:rsidR="00735B78" w:rsidRDefault="00C36AD7">
      <w:pPr>
        <w:spacing w:before="120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паркинг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одобрава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попуст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50% </w:t>
      </w:r>
      <w:proofErr w:type="spellStart"/>
      <w:r>
        <w:rPr>
          <w:sz w:val="22"/>
          <w:szCs w:val="22"/>
        </w:rPr>
        <w:t>цене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кориснике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паркирања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физичка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правна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дневну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паркинг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плате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року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издавања</w:t>
      </w:r>
      <w:proofErr w:type="spellEnd"/>
      <w:r>
        <w:rPr>
          <w:sz w:val="22"/>
          <w:szCs w:val="22"/>
        </w:rPr>
        <w:t>.</w:t>
      </w:r>
    </w:p>
    <w:p w14:paraId="62C6B0E9" w14:textId="77777777" w:rsidR="00735B78" w:rsidRDefault="00735B78">
      <w:pPr>
        <w:rPr>
          <w:b/>
          <w:bCs/>
          <w:sz w:val="22"/>
          <w:szCs w:val="22"/>
        </w:rPr>
      </w:pPr>
    </w:p>
    <w:p w14:paraId="6805870A" w14:textId="77777777" w:rsidR="00735B78" w:rsidRDefault="00735B78">
      <w:pPr>
        <w:rPr>
          <w:b/>
          <w:bCs/>
          <w:sz w:val="22"/>
          <w:szCs w:val="22"/>
        </w:rPr>
      </w:pPr>
    </w:p>
    <w:p w14:paraId="4EED7924" w14:textId="77777777" w:rsidR="00735B78" w:rsidRDefault="00735B78">
      <w:pPr>
        <w:rPr>
          <w:b/>
          <w:bCs/>
          <w:sz w:val="22"/>
          <w:szCs w:val="22"/>
        </w:rPr>
      </w:pPr>
    </w:p>
    <w:p w14:paraId="3CDD20C8" w14:textId="77777777" w:rsidR="00735B78" w:rsidRDefault="00735B78">
      <w:pPr>
        <w:rPr>
          <w:b/>
          <w:bCs/>
          <w:sz w:val="22"/>
          <w:szCs w:val="22"/>
        </w:rPr>
      </w:pPr>
    </w:p>
    <w:p w14:paraId="0E9C98E3" w14:textId="77777777" w:rsidR="00735B78" w:rsidRDefault="00735B78">
      <w:pPr>
        <w:rPr>
          <w:b/>
          <w:bCs/>
          <w:sz w:val="22"/>
          <w:szCs w:val="22"/>
        </w:rPr>
      </w:pPr>
    </w:p>
    <w:p w14:paraId="681ED67A" w14:textId="77777777" w:rsidR="00735B78" w:rsidRDefault="00735B78">
      <w:pPr>
        <w:rPr>
          <w:b/>
          <w:bCs/>
          <w:sz w:val="22"/>
          <w:szCs w:val="22"/>
        </w:rPr>
      </w:pPr>
    </w:p>
    <w:p w14:paraId="2DD09A59" w14:textId="77777777" w:rsidR="00735B78" w:rsidRDefault="00735B78">
      <w:pPr>
        <w:rPr>
          <w:b/>
          <w:bCs/>
          <w:sz w:val="22"/>
          <w:szCs w:val="22"/>
        </w:rPr>
      </w:pPr>
    </w:p>
    <w:p w14:paraId="77DD4A69" w14:textId="77777777" w:rsidR="00735B78" w:rsidRDefault="00735B78">
      <w:pPr>
        <w:rPr>
          <w:b/>
          <w:bCs/>
          <w:sz w:val="22"/>
          <w:szCs w:val="22"/>
        </w:rPr>
      </w:pPr>
    </w:p>
    <w:p w14:paraId="4C87BF6E" w14:textId="77777777" w:rsidR="00735B78" w:rsidRDefault="00735B78">
      <w:pPr>
        <w:rPr>
          <w:b/>
          <w:bCs/>
          <w:sz w:val="22"/>
          <w:szCs w:val="22"/>
        </w:rPr>
      </w:pPr>
    </w:p>
    <w:p w14:paraId="1B6214E1" w14:textId="77777777" w:rsidR="00735B78" w:rsidRDefault="00C36AD7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Повлашћена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паркинг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карта</w:t>
      </w:r>
      <w:proofErr w:type="spellEnd"/>
    </w:p>
    <w:p w14:paraId="120A28A4" w14:textId="77777777" w:rsidR="00735B78" w:rsidRDefault="00735B78">
      <w:pPr>
        <w:rPr>
          <w:b/>
          <w:bCs/>
          <w:sz w:val="22"/>
          <w:szCs w:val="22"/>
        </w:rPr>
      </w:pPr>
    </w:p>
    <w:tbl>
      <w:tblPr>
        <w:tblW w:w="1059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651"/>
        <w:gridCol w:w="3229"/>
        <w:gridCol w:w="1261"/>
        <w:gridCol w:w="1185"/>
        <w:gridCol w:w="764"/>
        <w:gridCol w:w="970"/>
        <w:gridCol w:w="1266"/>
        <w:gridCol w:w="1264"/>
      </w:tblGrid>
      <w:tr w:rsidR="00735B78" w14:paraId="3E92917E" w14:textId="77777777">
        <w:trPr>
          <w:trHeight w:val="375"/>
        </w:trPr>
        <w:tc>
          <w:tcPr>
            <w:tcW w:w="10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95D43" w14:textId="77777777" w:rsidR="00735B78" w:rsidRDefault="00C36AD7">
            <w:pPr>
              <w:widowControl/>
              <w:jc w:val="center"/>
              <w:textAlignment w:val="bottom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 w:bidi="ar"/>
              </w:rPr>
              <w:t>ПОВЛАШЋЕНА ПАРКИНГ КАРТА</w:t>
            </w:r>
          </w:p>
        </w:tc>
      </w:tr>
      <w:tr w:rsidR="00735B78" w14:paraId="707C2A49" w14:textId="77777777">
        <w:trPr>
          <w:trHeight w:val="615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B9FA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р.б</w:t>
            </w:r>
            <w:proofErr w:type="spellEnd"/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.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0775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ОПИС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7B97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ЦЕНА УСЛУГЕ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804EA6B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ЦЕНА УСЛУГЕ НОВА 2024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2AF3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ПДВ - 20%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DA21A8E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ПДВ - 20% -НОВИ 2024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2121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ЦЕНА СА ПОРЕЗОМ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A5564B3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eastAsia="SimSun" w:cs="Times New Roman"/>
                <w:b/>
                <w:bCs/>
                <w:sz w:val="20"/>
                <w:szCs w:val="20"/>
                <w:lang w:eastAsia="zh-CN" w:bidi="ar"/>
              </w:rPr>
              <w:t>ЦЕНА СА ПОРЕЗОМ НОВА 2024</w:t>
            </w:r>
          </w:p>
        </w:tc>
      </w:tr>
      <w:tr w:rsidR="00735B78" w14:paraId="0BE995B8" w14:textId="77777777">
        <w:trPr>
          <w:trHeight w:val="312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7D75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384D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20CE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5D0D9E2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6967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651C987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B6C5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8214E4C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735B78" w14:paraId="35E121B1" w14:textId="77777777">
        <w:trPr>
          <w:trHeight w:val="63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ACDA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7348" w14:textId="77777777" w:rsidR="00735B78" w:rsidRDefault="00C36AD7">
            <w:pPr>
              <w:widowControl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ЗОНА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Плава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104D" w14:textId="77777777" w:rsidR="00735B78" w:rsidRDefault="00C36AD7">
            <w:pPr>
              <w:widowControl/>
              <w:jc w:val="righ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288,33 РСД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49EC17EC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333,33      РСД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448C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57,67 РСД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7AE9B31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66,67       РСД 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3E09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346,00     РСД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287A311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400,00 РСД</w:t>
            </w:r>
          </w:p>
        </w:tc>
      </w:tr>
      <w:tr w:rsidR="00735B78" w14:paraId="04A40DC4" w14:textId="77777777">
        <w:trPr>
          <w:trHeight w:val="1019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76B1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FD1C" w14:textId="77777777" w:rsidR="00735B78" w:rsidRDefault="00C36AD7">
            <w:pPr>
              <w:widowControl/>
              <w:textAlignment w:val="center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Паркинг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карта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за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СТАНАРЕ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власнике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возила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(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паркирања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)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за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месец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дана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од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дана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уплате</w:t>
            </w:r>
            <w:proofErr w:type="spellEnd"/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45C2" w14:textId="77777777" w:rsidR="00735B78" w:rsidRDefault="00735B78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6E67799" w14:textId="77777777" w:rsidR="00735B78" w:rsidRDefault="00735B7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F01C" w14:textId="77777777" w:rsidR="00735B78" w:rsidRDefault="00735B7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022FDF93" w14:textId="77777777" w:rsidR="00735B78" w:rsidRDefault="00735B7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DE43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E4897DF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735B78" w14:paraId="457EB3BD" w14:textId="77777777">
        <w:trPr>
          <w:trHeight w:val="63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7112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EBE1" w14:textId="77777777" w:rsidR="00735B78" w:rsidRDefault="00C36AD7">
            <w:pPr>
              <w:widowControl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ЗОНА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Плава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55AE" w14:textId="77777777" w:rsidR="00735B78" w:rsidRDefault="00735B78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C0E30DA" w14:textId="77777777" w:rsidR="00735B78" w:rsidRDefault="00735B7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10E6" w14:textId="77777777" w:rsidR="00735B78" w:rsidRDefault="00735B78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7F9752A" w14:textId="77777777" w:rsidR="00735B78" w:rsidRDefault="00735B7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4B57" w14:textId="77777777" w:rsidR="00735B78" w:rsidRDefault="00C36AD7">
            <w:pPr>
              <w:widowControl/>
              <w:jc w:val="right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Бесплатно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125B2EFD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Бесплатно</w:t>
            </w:r>
            <w:proofErr w:type="spellEnd"/>
          </w:p>
        </w:tc>
      </w:tr>
      <w:tr w:rsidR="00735B78" w14:paraId="28D228C0" w14:textId="77777777">
        <w:trPr>
          <w:trHeight w:val="810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ED03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534D" w14:textId="77777777" w:rsidR="00735B78" w:rsidRDefault="00C36AD7">
            <w:pPr>
              <w:widowControl/>
              <w:textAlignment w:val="center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Паркинг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карта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за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ИНВАЛИДЕ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власнике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возила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(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паркирања</w:t>
            </w:r>
            <w:proofErr w:type="spellEnd"/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FE8A" w14:textId="77777777" w:rsidR="00735B78" w:rsidRDefault="00735B78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2498AF5" w14:textId="77777777" w:rsidR="00735B78" w:rsidRDefault="00735B7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9A86" w14:textId="77777777" w:rsidR="00735B78" w:rsidRDefault="00735B78">
            <w:pPr>
              <w:jc w:val="righ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2B1289BA" w14:textId="77777777" w:rsidR="00735B78" w:rsidRDefault="00735B7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6944" w14:textId="77777777" w:rsidR="00735B78" w:rsidRDefault="00735B78">
            <w:pPr>
              <w:jc w:val="right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CF30B62" w14:textId="77777777" w:rsidR="00735B78" w:rsidRDefault="00735B78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735B78" w14:paraId="0D3C8694" w14:textId="77777777">
        <w:trPr>
          <w:trHeight w:val="630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8039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8AC7" w14:textId="77777777" w:rsidR="00735B78" w:rsidRDefault="00C36AD7">
            <w:pPr>
              <w:widowControl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ЗОНА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 xml:space="preserve"> (</w:t>
            </w:r>
            <w:proofErr w:type="spellStart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Плава</w:t>
            </w:r>
            <w:proofErr w:type="spellEnd"/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139CA" w14:textId="77777777" w:rsidR="00735B78" w:rsidRDefault="00C36AD7">
            <w:pPr>
              <w:widowControl/>
              <w:jc w:val="right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962,50 РСД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D932883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1041.67 РСД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EA5C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192,50 РСД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56B4A3C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 w:bidi="ar"/>
              </w:rPr>
              <w:t>208,33 РСД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C4E1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1.155,00 РСД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3701463F" w14:textId="77777777" w:rsidR="00735B78" w:rsidRDefault="00C36AD7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b/>
                <w:bCs/>
                <w:sz w:val="21"/>
                <w:szCs w:val="21"/>
                <w:lang w:eastAsia="zh-CN" w:bidi="ar"/>
              </w:rPr>
              <w:t>1250,00 РСД</w:t>
            </w:r>
          </w:p>
        </w:tc>
      </w:tr>
      <w:tr w:rsidR="00735B78" w14:paraId="638A019F" w14:textId="77777777">
        <w:trPr>
          <w:trHeight w:val="1365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BF03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6B19" w14:textId="77777777" w:rsidR="00735B78" w:rsidRDefault="00C36AD7">
            <w:pPr>
              <w:widowControl/>
              <w:textAlignment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Паркинг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карта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за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ПРАВНА ЛИЦА И ПРЕДУЗЕТНИКЕ (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без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временског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ограничења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паркирања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)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за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месец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дана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од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дана</w:t>
            </w:r>
            <w:proofErr w:type="spellEnd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 w:cs="Times New Roman"/>
                <w:sz w:val="22"/>
                <w:szCs w:val="22"/>
                <w:lang w:eastAsia="zh-CN" w:bidi="ar"/>
              </w:rPr>
              <w:t>уплате</w:t>
            </w:r>
            <w:proofErr w:type="spellEnd"/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10DC" w14:textId="77777777" w:rsidR="00735B78" w:rsidRDefault="00735B78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7E62A841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DFD6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2A4B0E4" w14:textId="77777777" w:rsidR="00735B78" w:rsidRDefault="00735B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67D3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14:paraId="508022C3" w14:textId="77777777" w:rsidR="00735B78" w:rsidRDefault="00735B7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700603AB" w14:textId="77777777" w:rsidR="00735B78" w:rsidRDefault="00735B78">
      <w:pPr>
        <w:rPr>
          <w:sz w:val="22"/>
          <w:szCs w:val="22"/>
        </w:rPr>
      </w:pPr>
    </w:p>
    <w:p w14:paraId="2CC432B8" w14:textId="77777777" w:rsidR="00735B78" w:rsidRDefault="00735B78">
      <w:pPr>
        <w:rPr>
          <w:b/>
          <w:bCs/>
          <w:sz w:val="22"/>
          <w:szCs w:val="22"/>
        </w:rPr>
      </w:pPr>
    </w:p>
    <w:p w14:paraId="67C2F609" w14:textId="77777777" w:rsidR="00735B78" w:rsidRDefault="00C36AD7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Резервисана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паркинг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места</w:t>
      </w:r>
      <w:proofErr w:type="spellEnd"/>
    </w:p>
    <w:tbl>
      <w:tblPr>
        <w:tblStyle w:val="PlainTable31"/>
        <w:tblpPr w:leftFromText="180" w:rightFromText="180" w:vertAnchor="text" w:horzAnchor="page" w:tblpX="837" w:tblpY="271"/>
        <w:tblOverlap w:val="never"/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994"/>
        <w:gridCol w:w="1574"/>
        <w:gridCol w:w="1686"/>
        <w:gridCol w:w="1672"/>
      </w:tblGrid>
      <w:tr w:rsidR="00735B78" w14:paraId="62D4DF3D" w14:textId="77777777" w:rsidTr="00735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3" w:type="dxa"/>
            <w:tcBorders>
              <w:bottom w:val="nil"/>
            </w:tcBorders>
            <w:shd w:val="clear" w:color="auto" w:fill="auto"/>
            <w:vAlign w:val="center"/>
          </w:tcPr>
          <w:p w14:paraId="197D0700" w14:textId="77777777" w:rsidR="00735B78" w:rsidRDefault="00C36AD7">
            <w:pPr>
              <w:jc w:val="center"/>
              <w:rPr>
                <w:rFonts w:cs="Times New Roman"/>
                <w:b w:val="0"/>
                <w:cap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р.б.</w:t>
            </w:r>
          </w:p>
        </w:tc>
        <w:tc>
          <w:tcPr>
            <w:tcW w:w="4994" w:type="dxa"/>
            <w:tcBorders>
              <w:bottom w:val="nil"/>
            </w:tcBorders>
            <w:shd w:val="clear" w:color="auto" w:fill="auto"/>
            <w:vAlign w:val="center"/>
          </w:tcPr>
          <w:p w14:paraId="05DCE33B" w14:textId="77777777" w:rsidR="00735B78" w:rsidRDefault="00C36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ap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ОПИС</w:t>
            </w:r>
          </w:p>
        </w:tc>
        <w:tc>
          <w:tcPr>
            <w:tcW w:w="1574" w:type="dxa"/>
            <w:tcBorders>
              <w:bottom w:val="nil"/>
            </w:tcBorders>
            <w:shd w:val="clear" w:color="auto" w:fill="auto"/>
            <w:vAlign w:val="center"/>
          </w:tcPr>
          <w:p w14:paraId="67A0E489" w14:textId="77777777" w:rsidR="00735B78" w:rsidRDefault="00C36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цЕНА</w:t>
            </w:r>
          </w:p>
          <w:p w14:paraId="5EEBF49A" w14:textId="77777777" w:rsidR="00735B78" w:rsidRDefault="00C36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ap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УСЛУГЕ</w:t>
            </w:r>
          </w:p>
        </w:tc>
        <w:tc>
          <w:tcPr>
            <w:tcW w:w="1686" w:type="dxa"/>
            <w:tcBorders>
              <w:bottom w:val="nil"/>
            </w:tcBorders>
            <w:shd w:val="clear" w:color="auto" w:fill="auto"/>
            <w:vAlign w:val="center"/>
          </w:tcPr>
          <w:p w14:paraId="5AC6C04E" w14:textId="77777777" w:rsidR="00735B78" w:rsidRDefault="00C36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ПДв</w:t>
            </w:r>
          </w:p>
          <w:p w14:paraId="7CCDFD98" w14:textId="77777777" w:rsidR="00735B78" w:rsidRDefault="00C36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ap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(20%)</w:t>
            </w:r>
          </w:p>
        </w:tc>
        <w:tc>
          <w:tcPr>
            <w:tcW w:w="1672" w:type="dxa"/>
            <w:tcBorders>
              <w:bottom w:val="nil"/>
            </w:tcBorders>
            <w:shd w:val="clear" w:color="auto" w:fill="auto"/>
            <w:vAlign w:val="center"/>
          </w:tcPr>
          <w:p w14:paraId="24C23834" w14:textId="77777777" w:rsidR="00735B78" w:rsidRDefault="00C36A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ap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ЦЕНА СА ПОРЕЗОМ</w:t>
            </w:r>
          </w:p>
        </w:tc>
      </w:tr>
      <w:tr w:rsidR="00735B78" w14:paraId="44398C6D" w14:textId="77777777" w:rsidTr="00735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right w:val="nil"/>
            </w:tcBorders>
            <w:shd w:val="clear" w:color="auto" w:fill="auto"/>
          </w:tcPr>
          <w:p w14:paraId="64F16388" w14:textId="77777777" w:rsidR="00735B78" w:rsidRDefault="00C36AD7">
            <w:pPr>
              <w:jc w:val="center"/>
              <w:rPr>
                <w:rFonts w:cs="Times New Roman"/>
                <w:b w:val="0"/>
                <w:cap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1</w:t>
            </w:r>
          </w:p>
        </w:tc>
        <w:tc>
          <w:tcPr>
            <w:tcW w:w="4994" w:type="dxa"/>
            <w:shd w:val="clear" w:color="auto" w:fill="auto"/>
          </w:tcPr>
          <w:p w14:paraId="132D5A8F" w14:textId="77777777" w:rsidR="00735B78" w:rsidRDefault="00C36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ЗОНА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без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временског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ограничења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Плава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5C9BB691" w14:textId="77777777" w:rsidR="00735B78" w:rsidRDefault="00C36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lang w:val="en-GB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Паркинг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карта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за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ИНВАЛИДЕ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власнике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возила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без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временског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ограничења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паркирања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7530780" w14:textId="77777777" w:rsidR="00735B78" w:rsidRDefault="00735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EEE1BFE" w14:textId="77777777" w:rsidR="00735B78" w:rsidRDefault="00735B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E805075" w14:textId="77777777" w:rsidR="00735B78" w:rsidRDefault="00C36A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Бесплатно</w:t>
            </w:r>
            <w:proofErr w:type="spellEnd"/>
          </w:p>
        </w:tc>
      </w:tr>
      <w:tr w:rsidR="00735B78" w14:paraId="7EA560AB" w14:textId="77777777" w:rsidTr="00735B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right w:val="nil"/>
            </w:tcBorders>
            <w:shd w:val="clear" w:color="auto" w:fill="auto"/>
          </w:tcPr>
          <w:p w14:paraId="7ACEAEBA" w14:textId="77777777" w:rsidR="00735B78" w:rsidRDefault="00C36AD7">
            <w:pPr>
              <w:jc w:val="center"/>
              <w:rPr>
                <w:rFonts w:cs="Times New Roman"/>
                <w:b w:val="0"/>
                <w:caps w:val="0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2</w:t>
            </w:r>
          </w:p>
        </w:tc>
        <w:tc>
          <w:tcPr>
            <w:tcW w:w="4994" w:type="dxa"/>
            <w:shd w:val="clear" w:color="auto" w:fill="auto"/>
          </w:tcPr>
          <w:p w14:paraId="5C4B0B0A" w14:textId="77777777" w:rsidR="00735B78" w:rsidRDefault="00C36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ЗОНА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без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временског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ограничења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Плава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>)</w:t>
            </w:r>
          </w:p>
          <w:p w14:paraId="4A5F6994" w14:textId="77777777" w:rsidR="00735B78" w:rsidRDefault="00C36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Паркинг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карта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за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ПРАВНА ЛИЦА и ПРЕДУЗЕТНИКЕ (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без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временског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ограничења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паркирања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за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месец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дана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од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дана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уплате</w:t>
            </w:r>
            <w:proofErr w:type="spellEnd"/>
          </w:p>
        </w:tc>
        <w:tc>
          <w:tcPr>
            <w:tcW w:w="1574" w:type="dxa"/>
            <w:shd w:val="clear" w:color="auto" w:fill="auto"/>
            <w:vAlign w:val="center"/>
          </w:tcPr>
          <w:p w14:paraId="197C6F62" w14:textId="77777777" w:rsidR="00735B78" w:rsidRDefault="00C36A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5.775,00 РСД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36B9E12" w14:textId="77777777" w:rsidR="00735B78" w:rsidRDefault="00C36AD7">
            <w:pPr>
              <w:ind w:left="19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1.155,00   РСД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697B243" w14:textId="77777777" w:rsidR="00735B78" w:rsidRDefault="00C36A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6.930,00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РСД</w:t>
            </w:r>
          </w:p>
        </w:tc>
      </w:tr>
    </w:tbl>
    <w:p w14:paraId="3B4735B7" w14:textId="77777777" w:rsidR="00735B78" w:rsidRDefault="00735B78">
      <w:pPr>
        <w:rPr>
          <w:b/>
          <w:bCs/>
          <w:sz w:val="22"/>
          <w:szCs w:val="22"/>
        </w:rPr>
      </w:pPr>
    </w:p>
    <w:p w14:paraId="5C2F71D8" w14:textId="77777777" w:rsidR="00735B78" w:rsidRDefault="00735B78">
      <w:pPr>
        <w:tabs>
          <w:tab w:val="left" w:pos="0"/>
        </w:tabs>
        <w:ind w:left="360"/>
        <w:jc w:val="both"/>
        <w:rPr>
          <w:rFonts w:cs="Times New Roman"/>
          <w:lang w:val="sr-Cyrl-CS"/>
        </w:rPr>
      </w:pPr>
    </w:p>
    <w:p w14:paraId="57C30299" w14:textId="77777777" w:rsidR="00735B78" w:rsidRDefault="00735B78">
      <w:pPr>
        <w:tabs>
          <w:tab w:val="left" w:pos="0"/>
        </w:tabs>
        <w:jc w:val="both"/>
        <w:rPr>
          <w:rFonts w:cs="Times New Roman"/>
        </w:rPr>
      </w:pPr>
    </w:p>
    <w:p w14:paraId="2F18183C" w14:textId="77777777" w:rsidR="00735B78" w:rsidRDefault="00C36AD7">
      <w:pPr>
        <w:pStyle w:val="ListParagraph"/>
        <w:numPr>
          <w:ilvl w:val="0"/>
          <w:numId w:val="1"/>
        </w:numPr>
        <w:tabs>
          <w:tab w:val="left" w:pos="0"/>
        </w:tabs>
        <w:ind w:left="0" w:hanging="8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Ова одлука ступа на снагу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даном прибављања сагласности  од оснивача, а </w:t>
      </w:r>
      <w:r>
        <w:rPr>
          <w:rFonts w:ascii="Times New Roman" w:hAnsi="Times New Roman" w:cs="Times New Roman"/>
          <w:sz w:val="24"/>
          <w:szCs w:val="24"/>
          <w:lang w:val="sr-Latn-CS"/>
        </w:rPr>
        <w:t>примењ</w:t>
      </w:r>
      <w:proofErr w:type="spellStart"/>
      <w:r>
        <w:rPr>
          <w:rFonts w:ascii="Times New Roman" w:hAnsi="Times New Roman" w:cs="Times New Roman"/>
          <w:sz w:val="24"/>
          <w:szCs w:val="24"/>
        </w:rPr>
        <w:t>ује</w:t>
      </w:r>
      <w:proofErr w:type="spell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се почев од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7. 2021. године. </w:t>
      </w:r>
    </w:p>
    <w:p w14:paraId="11531A20" w14:textId="77777777" w:rsidR="00735B78" w:rsidRDefault="00C36AD7">
      <w:pPr>
        <w:pStyle w:val="ListParagraph"/>
        <w:numPr>
          <w:ilvl w:val="0"/>
          <w:numId w:val="1"/>
        </w:numPr>
        <w:tabs>
          <w:tab w:val="left" w:pos="0"/>
        </w:tabs>
        <w:ind w:left="0" w:hanging="8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Даном доношења ове одлуке престаје да важи Одлука Надзорног одбора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КЈП „Морава“ Свилајнац 02 број 1606/3-21 од 29. 4. 2021. г. </w:t>
      </w:r>
    </w:p>
    <w:p w14:paraId="2487C237" w14:textId="77777777" w:rsidR="00735B78" w:rsidRDefault="00735B78">
      <w:pPr>
        <w:spacing w:line="276" w:lineRule="auto"/>
        <w:ind w:left="720"/>
        <w:jc w:val="center"/>
        <w:rPr>
          <w:rFonts w:cs="Times New Roman"/>
          <w:lang w:val="sr-Latn-CS"/>
        </w:rPr>
      </w:pPr>
    </w:p>
    <w:p w14:paraId="003B9D12" w14:textId="77777777" w:rsidR="00735B78" w:rsidRDefault="00C36AD7">
      <w:pPr>
        <w:spacing w:line="276" w:lineRule="auto"/>
        <w:ind w:left="720"/>
        <w:jc w:val="center"/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О б </w:t>
      </w:r>
      <w:r>
        <w:rPr>
          <w:rFonts w:cs="Times New Roman"/>
          <w:lang w:val="sr-Latn-CS"/>
        </w:rPr>
        <w:t>р а з л о ж е њ е</w:t>
      </w:r>
    </w:p>
    <w:p w14:paraId="61529931" w14:textId="77777777" w:rsidR="00735B78" w:rsidRDefault="00735B78">
      <w:pPr>
        <w:spacing w:line="276" w:lineRule="auto"/>
        <w:ind w:left="720"/>
        <w:jc w:val="center"/>
        <w:rPr>
          <w:rFonts w:cs="Times New Roman"/>
          <w:lang w:val="sr-Latn-CS"/>
        </w:rPr>
      </w:pPr>
    </w:p>
    <w:p w14:paraId="17631FCE" w14:textId="77777777" w:rsidR="00735B78" w:rsidRDefault="00C36AD7">
      <w:pPr>
        <w:jc w:val="both"/>
        <w:rPr>
          <w:lang w:val="sr-Cyrl-CS"/>
        </w:rPr>
      </w:pPr>
      <w:r>
        <w:rPr>
          <w:rFonts w:cs="Times New Roman"/>
          <w:lang w:val="sr-Cyrl-CS"/>
        </w:rPr>
        <w:tab/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Свилајнац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управљању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паркиралиштима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Свилајнац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proofErr w:type="gramStart"/>
      <w:r>
        <w:t>Свилајнац</w:t>
      </w:r>
      <w:proofErr w:type="spellEnd"/>
      <w:r>
        <w:t>“</w:t>
      </w:r>
      <w:proofErr w:type="gramEnd"/>
      <w:r>
        <w:t xml:space="preserve">, бр.29/20),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комуналне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паркиралиштима</w:t>
      </w:r>
      <w:proofErr w:type="spellEnd"/>
      <w:r>
        <w:t xml:space="preserve"> </w:t>
      </w:r>
      <w:proofErr w:type="spellStart"/>
      <w:r>
        <w:t>поверавају</w:t>
      </w:r>
      <w:proofErr w:type="spellEnd"/>
      <w:r>
        <w:t xml:space="preserve"> </w:t>
      </w:r>
      <w:proofErr w:type="spellStart"/>
      <w:r>
        <w:t>Комуналном</w:t>
      </w:r>
      <w:proofErr w:type="spellEnd"/>
      <w:r>
        <w:t xml:space="preserve"> </w:t>
      </w:r>
      <w:proofErr w:type="spellStart"/>
      <w:r>
        <w:t>јав</w:t>
      </w:r>
      <w:r>
        <w:t>ном</w:t>
      </w:r>
      <w:proofErr w:type="spellEnd"/>
      <w:r>
        <w:t xml:space="preserve"> </w:t>
      </w:r>
      <w:proofErr w:type="spellStart"/>
      <w:r>
        <w:t>предузећу</w:t>
      </w:r>
      <w:proofErr w:type="spellEnd"/>
      <w:r>
        <w:t xml:space="preserve"> </w:t>
      </w:r>
      <w:r>
        <w:rPr>
          <w:lang w:val="sr-Cyrl-CS"/>
        </w:rPr>
        <w:t>„Морава“ Свилајнац, а  КЈП „Морава“ Свилајнац се обавезује да свој рад и пословање организује тако да обезбеди трајно и несметано пружање наведене комуналне услуге корисницима.</w:t>
      </w:r>
    </w:p>
    <w:p w14:paraId="15E53B45" w14:textId="77777777" w:rsidR="00735B78" w:rsidRDefault="00C36AD7">
      <w:pPr>
        <w:jc w:val="both"/>
        <w:rPr>
          <w:lang w:val="sr-Cyrl-CS"/>
        </w:rPr>
      </w:pPr>
      <w:r>
        <w:rPr>
          <w:lang w:val="sr-Cyrl-CS"/>
        </w:rPr>
        <w:tab/>
      </w:r>
    </w:p>
    <w:p w14:paraId="24089F9A" w14:textId="77777777" w:rsidR="00735B78" w:rsidRDefault="00C36AD7">
      <w:pPr>
        <w:ind w:firstLine="708"/>
        <w:jc w:val="both"/>
        <w:rPr>
          <w:lang w:val="sr-Cyrl-CS"/>
        </w:rPr>
      </w:pPr>
      <w:r>
        <w:rPr>
          <w:lang w:val="sr-Cyrl-CS"/>
        </w:rPr>
        <w:lastRenderedPageBreak/>
        <w:t>Чл. 7, став 3 наведене Одлуке прописано је да се накнада за кор</w:t>
      </w:r>
      <w:r>
        <w:rPr>
          <w:lang w:val="sr-Cyrl-CS"/>
        </w:rPr>
        <w:t xml:space="preserve">ишћење јавних паркиралишта и други трошкови настали у процесу обављања ове комуналне делатности утврђују ценовником који доноси вршилац комуналне услуге на који сагласност даје Општинско веће општине Свилајнац. </w:t>
      </w:r>
    </w:p>
    <w:p w14:paraId="70787DE8" w14:textId="77777777" w:rsidR="00735B78" w:rsidRDefault="00C36AD7">
      <w:pPr>
        <w:ind w:firstLine="708"/>
        <w:jc w:val="both"/>
        <w:rPr>
          <w:lang w:val="sr-Cyrl-CS"/>
        </w:rPr>
      </w:pPr>
      <w:r>
        <w:rPr>
          <w:lang w:val="sr-Cyrl-CS"/>
        </w:rPr>
        <w:tab/>
      </w:r>
    </w:p>
    <w:p w14:paraId="2BEEE24D" w14:textId="77777777" w:rsidR="00735B78" w:rsidRDefault="00C36AD7">
      <w:pPr>
        <w:ind w:firstLine="708"/>
        <w:jc w:val="both"/>
        <w:rPr>
          <w:rFonts w:cs="Times New Roman"/>
          <w:lang w:val="sr-Cyrl-RS"/>
        </w:rPr>
      </w:pPr>
      <w:r>
        <w:rPr>
          <w:rFonts w:cs="Times New Roman"/>
          <w:lang w:val="sr-Cyrl-CS"/>
        </w:rPr>
        <w:t xml:space="preserve">Како је од доношења </w:t>
      </w:r>
      <w:r>
        <w:rPr>
          <w:rFonts w:cs="Times New Roman"/>
          <w:lang w:val="sr-Cyrl-RS"/>
        </w:rPr>
        <w:t>Одлуке Надзорног одбор</w:t>
      </w:r>
      <w:r>
        <w:rPr>
          <w:rFonts w:cs="Times New Roman"/>
          <w:lang w:val="sr-Cyrl-RS"/>
        </w:rPr>
        <w:t xml:space="preserve">а </w:t>
      </w:r>
      <w:r>
        <w:rPr>
          <w:rFonts w:cs="Times New Roman"/>
          <w:lang w:val="sr-Cyrl-CS"/>
        </w:rPr>
        <w:t xml:space="preserve">КЈП „Морава“ Свилајнац 02 број 1606/3-21 од 29. 4. 2021. г. којом су </w:t>
      </w:r>
      <w:proofErr w:type="spellStart"/>
      <w:r>
        <w:rPr>
          <w:rFonts w:cs="Times New Roman"/>
        </w:rPr>
        <w:t>утврђ</w:t>
      </w:r>
      <w:proofErr w:type="spellEnd"/>
      <w:r>
        <w:rPr>
          <w:rFonts w:cs="Times New Roman"/>
          <w:lang w:val="sr-Cyrl-RS"/>
        </w:rPr>
        <w:t>ене</w:t>
      </w:r>
      <w:r>
        <w:rPr>
          <w:rFonts w:cs="Times New Roman"/>
          <w:lang w:val="sr-Cyrl-CS"/>
        </w:rPr>
        <w:t xml:space="preserve"> цене комуналних услуга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паркирање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возила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паркиралиштима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зонираном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подручју</w:t>
      </w:r>
      <w:proofErr w:type="spellEnd"/>
      <w:r>
        <w:rPr>
          <w:rFonts w:cs="Times New Roman"/>
          <w:lang w:val="sr-Cyrl-RS"/>
        </w:rPr>
        <w:t xml:space="preserve"> дошло до промене цена свих елемената од којих зависи формирање цене услуга, директор је</w:t>
      </w:r>
      <w:r>
        <w:rPr>
          <w:rFonts w:cs="Times New Roman"/>
          <w:lang w:val="sr-Cyrl-RS"/>
        </w:rPr>
        <w:t xml:space="preserve"> Надзорном одбору КЈП „Морава“ Свилајнац доставио предлог Одлуке </w:t>
      </w:r>
      <w:r>
        <w:rPr>
          <w:rFonts w:cs="Times New Roman"/>
          <w:lang w:val="sr-Cyrl-CS"/>
        </w:rPr>
        <w:t xml:space="preserve"> којом се </w:t>
      </w:r>
      <w:proofErr w:type="spellStart"/>
      <w:r>
        <w:rPr>
          <w:rFonts w:cs="Times New Roman"/>
        </w:rPr>
        <w:t>утврђ</w:t>
      </w:r>
      <w:proofErr w:type="spellEnd"/>
      <w:r>
        <w:rPr>
          <w:rFonts w:cs="Times New Roman"/>
          <w:lang w:val="sr-Cyrl-RS"/>
        </w:rPr>
        <w:t>ују</w:t>
      </w:r>
      <w:r>
        <w:rPr>
          <w:rFonts w:cs="Times New Roman"/>
          <w:lang w:val="sr-Cyrl-CS"/>
        </w:rPr>
        <w:t xml:space="preserve"> цене комуналних услуга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паркирање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возила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паркиралиштима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зонираном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подручју</w:t>
      </w:r>
      <w:proofErr w:type="spellEnd"/>
      <w:r>
        <w:rPr>
          <w:rFonts w:cs="Times New Roman"/>
          <w:lang w:val="sr-Cyrl-RS"/>
        </w:rPr>
        <w:t>, и то тако да се повећавају цене услуга у табелама ближе наведеним у диспозитиву.</w:t>
      </w:r>
    </w:p>
    <w:p w14:paraId="7318B19F" w14:textId="77777777" w:rsidR="00735B78" w:rsidRDefault="00C36AD7">
      <w:pPr>
        <w:tabs>
          <w:tab w:val="left" w:pos="0"/>
        </w:tabs>
        <w:jc w:val="both"/>
        <w:rPr>
          <w:lang w:val="sr-Cyrl-CS"/>
        </w:rPr>
      </w:pP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 xml:space="preserve">  </w:t>
      </w:r>
    </w:p>
    <w:p w14:paraId="4001C6EC" w14:textId="77777777" w:rsidR="00735B78" w:rsidRDefault="00C36AD7">
      <w:pPr>
        <w:tabs>
          <w:tab w:val="left" w:pos="0"/>
        </w:tabs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  <w:t xml:space="preserve">Применом наведених прописа донета је Одлука </w:t>
      </w:r>
      <w:proofErr w:type="spellStart"/>
      <w:r>
        <w:rPr>
          <w:rFonts w:cs="Times New Roman"/>
        </w:rPr>
        <w:t>кao</w:t>
      </w:r>
      <w:proofErr w:type="spellEnd"/>
      <w:r>
        <w:rPr>
          <w:rFonts w:cs="Times New Roman"/>
          <w:lang w:val="sr-Cyrl-CS"/>
        </w:rPr>
        <w:t xml:space="preserve"> у диспозитиву и иста се доставља </w:t>
      </w:r>
      <w:proofErr w:type="spellStart"/>
      <w:r>
        <w:rPr>
          <w:rFonts w:cs="Times New Roman"/>
        </w:rPr>
        <w:t>надлежном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јединице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локалне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>ради давања сагласности.</w:t>
      </w:r>
    </w:p>
    <w:p w14:paraId="0AD052F3" w14:textId="77777777" w:rsidR="00735B78" w:rsidRDefault="00735B78">
      <w:pPr>
        <w:tabs>
          <w:tab w:val="left" w:pos="0"/>
        </w:tabs>
        <w:jc w:val="both"/>
        <w:rPr>
          <w:lang w:val="sr-Cyrl-CS"/>
        </w:rPr>
      </w:pPr>
    </w:p>
    <w:p w14:paraId="016A2343" w14:textId="77777777" w:rsidR="00735B78" w:rsidRDefault="00735B78">
      <w:pPr>
        <w:ind w:left="5940" w:firstLine="360"/>
        <w:jc w:val="both"/>
      </w:pPr>
    </w:p>
    <w:p w14:paraId="5DA88B44" w14:textId="77777777" w:rsidR="00735B78" w:rsidRDefault="00C36AD7">
      <w:pPr>
        <w:ind w:left="5940" w:firstLine="360"/>
        <w:jc w:val="both"/>
        <w:rPr>
          <w:b/>
          <w:lang w:val="sr-Latn-CS"/>
        </w:rPr>
      </w:pPr>
      <w:proofErr w:type="spellStart"/>
      <w:r>
        <w:t>Председник</w:t>
      </w:r>
      <w:proofErr w:type="spellEnd"/>
      <w:r>
        <w:rPr>
          <w:lang w:val="sr-Cyrl-CS"/>
        </w:rPr>
        <w:t xml:space="preserve"> Надзорног </w:t>
      </w:r>
      <w:proofErr w:type="spellStart"/>
      <w:r>
        <w:t>одбора</w:t>
      </w:r>
      <w:proofErr w:type="spellEnd"/>
    </w:p>
    <w:p w14:paraId="0F1E3A0F" w14:textId="77777777" w:rsidR="00735B78" w:rsidRDefault="00C36AD7">
      <w:pPr>
        <w:ind w:left="5670" w:firstLine="720"/>
        <w:jc w:val="both"/>
        <w:rPr>
          <w:lang w:val="sr-Cyrl-CS"/>
        </w:rPr>
      </w:pPr>
      <w:r>
        <w:rPr>
          <w:lang w:val="sr-Cyrl-CS"/>
        </w:rPr>
        <w:t xml:space="preserve">        </w:t>
      </w:r>
    </w:p>
    <w:p w14:paraId="7413A131" w14:textId="77777777" w:rsidR="00735B78" w:rsidRDefault="00C36AD7">
      <w:pPr>
        <w:ind w:left="5670" w:firstLine="720"/>
        <w:jc w:val="both"/>
        <w:rPr>
          <w:lang w:val="sr-Cyrl-CS"/>
        </w:rPr>
      </w:pPr>
      <w:r>
        <w:rPr>
          <w:lang w:val="sr-Cyrl-CS"/>
        </w:rPr>
        <w:t xml:space="preserve">        Радиша Стевановић</w:t>
      </w:r>
    </w:p>
    <w:p w14:paraId="7130B876" w14:textId="77777777" w:rsidR="00735B78" w:rsidRDefault="00735B78">
      <w:pPr>
        <w:rPr>
          <w:lang w:val="sr-Cyrl-CS"/>
        </w:rPr>
      </w:pPr>
    </w:p>
    <w:p w14:paraId="157EE72C" w14:textId="77777777" w:rsidR="00735B78" w:rsidRDefault="00735B78">
      <w:pPr>
        <w:rPr>
          <w:lang w:val="sr-Cyrl-CS"/>
        </w:rPr>
      </w:pPr>
    </w:p>
    <w:p w14:paraId="6F94D169" w14:textId="77777777" w:rsidR="00735B78" w:rsidRDefault="00C36AD7">
      <w:pPr>
        <w:rPr>
          <w:lang w:val="sr-Cyrl-CS"/>
        </w:rPr>
      </w:pPr>
      <w:r>
        <w:rPr>
          <w:lang w:val="sr-Cyrl-CS"/>
        </w:rPr>
        <w:t>Доставити:</w:t>
      </w:r>
    </w:p>
    <w:p w14:paraId="17CCA591" w14:textId="77777777" w:rsidR="00735B78" w:rsidRDefault="00C36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 општине Свилајнац </w:t>
      </w:r>
    </w:p>
    <w:p w14:paraId="69EC9366" w14:textId="77777777" w:rsidR="00735B78" w:rsidRDefault="00C36AD7">
      <w:pPr>
        <w:pStyle w:val="ListParagraph"/>
        <w:numPr>
          <w:ilvl w:val="0"/>
          <w:numId w:val="2"/>
        </w:numPr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а/а</w:t>
      </w:r>
    </w:p>
    <w:p w14:paraId="0FB5E912" w14:textId="77777777" w:rsidR="00735B78" w:rsidRDefault="00735B78"/>
    <w:p w14:paraId="494698A3" w14:textId="77777777" w:rsidR="00735B78" w:rsidRDefault="00735B78"/>
    <w:sectPr w:rsidR="00735B78"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L Times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D2194"/>
    <w:multiLevelType w:val="multilevel"/>
    <w:tmpl w:val="299D21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04E17"/>
    <w:multiLevelType w:val="multilevel"/>
    <w:tmpl w:val="5B604E1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73"/>
    <w:rsid w:val="00120B3B"/>
    <w:rsid w:val="001C3973"/>
    <w:rsid w:val="001D4D84"/>
    <w:rsid w:val="002F6479"/>
    <w:rsid w:val="003000A7"/>
    <w:rsid w:val="004A3379"/>
    <w:rsid w:val="0057427D"/>
    <w:rsid w:val="006B3BB0"/>
    <w:rsid w:val="00735B78"/>
    <w:rsid w:val="007422D7"/>
    <w:rsid w:val="00861F40"/>
    <w:rsid w:val="00906C2B"/>
    <w:rsid w:val="00921833"/>
    <w:rsid w:val="009A6213"/>
    <w:rsid w:val="009E30D2"/>
    <w:rsid w:val="00A75F3C"/>
    <w:rsid w:val="00B3374B"/>
    <w:rsid w:val="00BA0584"/>
    <w:rsid w:val="00C36AD7"/>
    <w:rsid w:val="00C374CD"/>
    <w:rsid w:val="00DC6EDC"/>
    <w:rsid w:val="00DF7DCA"/>
    <w:rsid w:val="1E5B385B"/>
    <w:rsid w:val="2F494241"/>
    <w:rsid w:val="43900C50"/>
    <w:rsid w:val="60C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F6A61D-8AFA-4DE6-AAD0-AE7F3A5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widowControl/>
      <w:ind w:left="720"/>
      <w:contextualSpacing/>
    </w:pPr>
    <w:rPr>
      <w:rFonts w:ascii="YU L Times" w:eastAsia="Times New Roman" w:hAnsi="YU L Times" w:cs="Courier New"/>
      <w:color w:val="auto"/>
      <w:kern w:val="1"/>
      <w:sz w:val="28"/>
      <w:szCs w:val="20"/>
      <w:lang w:eastAsia="ar-SA" w:bidi="ar-SA"/>
    </w:rPr>
  </w:style>
  <w:style w:type="table" w:customStyle="1" w:styleId="PlainTable31">
    <w:name w:val="Plain Table 31"/>
    <w:basedOn w:val="TableNormal"/>
    <w:uiPriority w:val="43"/>
    <w:qFormat/>
    <w:rPr>
      <w:rFonts w:asciiTheme="minorHAnsi" w:hAnsiTheme="minorHAnsi" w:cstheme="minorBidi"/>
      <w:sz w:val="22"/>
      <w:szCs w:val="22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51">
    <w:name w:val="font51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2024-06-25T08:44:00Z</cp:lastPrinted>
  <dcterms:created xsi:type="dcterms:W3CDTF">2024-07-08T06:53:00Z</dcterms:created>
  <dcterms:modified xsi:type="dcterms:W3CDTF">2024-07-08T06:53:00Z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33D8A1950E754E3E9B11A9BDC752C54F_12</vt:lpwstr>
  </property>
</Properties>
</file>